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C6472" w14:textId="77777777" w:rsidR="0055477E" w:rsidRDefault="000D7152" w:rsidP="0055477E">
      <w:pPr>
        <w:jc w:val="right"/>
        <w:rPr>
          <w:rFonts w:ascii="Arial" w:hAnsi="Arial" w:cs="Arial"/>
          <w:b/>
          <w:bCs/>
          <w:i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32E9B7" wp14:editId="463CD2F8">
                <wp:simplePos x="0" y="0"/>
                <wp:positionH relativeFrom="column">
                  <wp:posOffset>-111125</wp:posOffset>
                </wp:positionH>
                <wp:positionV relativeFrom="paragraph">
                  <wp:posOffset>-225425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D5D9E" w14:textId="77777777" w:rsidR="00406EF1" w:rsidRDefault="00406EF1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6D80A4B" wp14:editId="690FAC6C">
                                  <wp:extent cx="1802765" cy="612775"/>
                                  <wp:effectExtent l="19050" t="0" r="6985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7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7pt;margin-top:-17.7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Teoqrt0AAAAKAQAADwAA&#10;AAAAAAAAAAAAAAAIBQAAZHJzL2Rvd25yZXYueG1sUEsFBgAAAAAEAAQA8wAAABIGAAAAAA==&#10;" filled="f" stroked="f">
                <v:textbox inset=",7.2pt,,7.2pt">
                  <w:txbxContent>
                    <w:p w14:paraId="3DDD5D9E" w14:textId="77777777" w:rsidR="00406EF1" w:rsidRDefault="00406EF1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 wp14:anchorId="46D80A4B" wp14:editId="690FAC6C">
                            <wp:extent cx="1802765" cy="612775"/>
                            <wp:effectExtent l="19050" t="0" r="6985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76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8657C9" w14:textId="77777777"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3BE282ED" w14:textId="77777777"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7BC58DD1" w14:textId="77777777"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14:paraId="64DE9551" w14:textId="77777777"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14:paraId="4A133125" w14:textId="77777777"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14:paraId="5D5147C9" w14:textId="77777777" w:rsidR="0055477E" w:rsidRPr="000C17D8" w:rsidRDefault="008C5E62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t>BioTek W</w:t>
      </w:r>
      <w:r w:rsidR="00E76098" w:rsidRPr="00E76098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ins SelectScience </w:t>
      </w:r>
      <w:r w:rsidR="00E76098">
        <w:rPr>
          <w:rFonts w:ascii="Arial" w:hAnsi="Arial" w:cs="Arial"/>
          <w:b/>
          <w:bCs/>
          <w:iCs/>
          <w:color w:val="314388"/>
          <w:sz w:val="36"/>
          <w:lang w:bidi="en-US"/>
        </w:rPr>
        <w:br/>
      </w:r>
      <w:r w:rsidR="007E6C42">
        <w:rPr>
          <w:rFonts w:ascii="Arial" w:hAnsi="Arial" w:cs="Arial"/>
          <w:b/>
          <w:bCs/>
          <w:iCs/>
          <w:color w:val="314388"/>
          <w:sz w:val="36"/>
          <w:lang w:bidi="en-US"/>
        </w:rPr>
        <w:t>2012 Scientists’ Choice Award</w:t>
      </w:r>
      <w:bookmarkStart w:id="0" w:name="_GoBack"/>
      <w:bookmarkEnd w:id="0"/>
      <w:r w:rsidR="00E76098" w:rsidRPr="00E76098">
        <w:rPr>
          <w:rFonts w:ascii="Arial" w:hAnsi="Arial" w:cs="Arial"/>
          <w:b/>
          <w:bCs/>
          <w:iCs/>
          <w:color w:val="314388"/>
          <w:sz w:val="36"/>
          <w:lang w:bidi="en-US"/>
        </w:rPr>
        <w:t>!</w:t>
      </w:r>
    </w:p>
    <w:p w14:paraId="123BC0B7" w14:textId="77777777" w:rsidR="0055477E" w:rsidRPr="00633DC2" w:rsidRDefault="0055477E" w:rsidP="0055477E">
      <w:pPr>
        <w:ind w:right="-270"/>
        <w:rPr>
          <w:sz w:val="22"/>
        </w:rPr>
      </w:pPr>
    </w:p>
    <w:p w14:paraId="195CE607" w14:textId="77777777" w:rsidR="00E76098" w:rsidRPr="00E76098" w:rsidRDefault="008266CA" w:rsidP="00E76098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/>
          <w:iCs/>
          <w:color w:val="auto"/>
          <w:sz w:val="22"/>
        </w:rPr>
        <w:t>September</w:t>
      </w:r>
      <w:r w:rsidR="001712BF" w:rsidRPr="00222095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8C5005" w:rsidRPr="008C5005">
        <w:rPr>
          <w:rFonts w:ascii="Arial" w:hAnsi="Arial" w:cs="Arial"/>
          <w:bCs/>
          <w:i/>
          <w:iCs/>
          <w:color w:val="auto"/>
          <w:sz w:val="22"/>
        </w:rPr>
        <w:t>6</w:t>
      </w:r>
      <w:r w:rsidR="00627483" w:rsidRPr="00222095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222095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222095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BioTek Instruments proudly announces receipt of the 2012 Drug Discovery Product of the Year – Scientists' Choice Award for their</w:t>
      </w:r>
      <w:r w:rsidR="00E76098" w:rsidRPr="00E76098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9" w:history="1">
        <w:r w:rsidR="00E76098" w:rsidRPr="00E76098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Synergy™ NEO</w:t>
        </w:r>
      </w:hyperlink>
      <w:r w:rsidR="00E76098" w:rsidRPr="00E76098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HTS Multi-Mode Microplate Reader. The award, sponsored by</w:t>
      </w:r>
      <w:r w:rsidR="00E76098" w:rsidRPr="00E76098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10" w:history="1">
        <w:r w:rsidR="00E76098" w:rsidRPr="00E76098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SelectScience</w:t>
        </w:r>
      </w:hyperlink>
      <w:r w:rsidR="00E76098" w:rsidRPr="00E76098">
        <w:rPr>
          <w:rFonts w:ascii="Arial" w:hAnsi="Arial" w:cs="Arial"/>
          <w:bCs/>
          <w:iCs/>
          <w:sz w:val="22"/>
          <w:szCs w:val="22"/>
          <w:lang w:bidi="en-US"/>
        </w:rPr>
        <w:t xml:space="preserve">, 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was</w:t>
      </w:r>
      <w:r w:rsidR="00E76098" w:rsidRPr="00E76098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announced September 5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vertAlign w:val="superscript"/>
          <w:lang w:bidi="en-US"/>
        </w:rPr>
        <w:t>th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at ELRIG Drug Discovery in Manchester, UK.</w:t>
      </w:r>
    </w:p>
    <w:p w14:paraId="1BF16134" w14:textId="77777777" w:rsidR="00E76098" w:rsidRPr="00E76098" w:rsidRDefault="008C5005" w:rsidP="00E76098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“This award is such a special recognition </w:t>
      </w:r>
      <w:r w:rsidR="00E76098"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from our customers; we’re delighted to have our Synergy NEO foremost recognized among many cutting-edge drug discovery technologies,” noted Gary Barush, BioTek’s Director of Marketing &amp; Sales. “In return, we promise to continue innovating microplate-based solutions to benefit drug discovery applications.”</w:t>
      </w:r>
    </w:p>
    <w:p w14:paraId="162AC662" w14:textId="77777777" w:rsidR="000717FB" w:rsidRPr="00633FFD" w:rsidRDefault="00E76098" w:rsidP="00E76098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BioTek’s Synergy NEO was selected among seven product finalists, as nominated by SelectScience members. </w:t>
      </w:r>
      <w:r w:rsidR="008C500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NEO is specifically designed for today’s streamlined screening applications and core laboratories.</w:t>
      </w:r>
      <w:r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="008C500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P</w:t>
      </w:r>
      <w:r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atented Hybrid Technology™ combines filter- and monochromator-based optics in the compact Synergy NEO for increased flexi</w:t>
      </w:r>
      <w:r w:rsidR="008C500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bility, speed and performance. Full spectrum reading in both fluorescent and absorbance modes, plus m</w:t>
      </w:r>
      <w:r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ultiple parallel detectors decrease measuring time, and dedicated filter-based optics are suited for live cell assays. Additionally, an optional plate stacker with a 6-second plate exchange time increases efficiency and walk-away automation. Powerful and user-friendly </w:t>
      </w:r>
      <w:hyperlink r:id="rId11" w:history="1">
        <w:r w:rsidRPr="00E76098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Gen5™</w:t>
        </w:r>
      </w:hyperlink>
      <w:r w:rsidRPr="00E76098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Data Analysis Software allows custom protocol creation, data processing and export flexibility.</w:t>
      </w:r>
    </w:p>
    <w:p w14:paraId="020963D0" w14:textId="77777777"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14:paraId="3D46DD9B" w14:textId="77777777"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B0623E" w14:textId="77777777" w:rsidR="00864CFF" w:rsidRPr="00633DC2" w:rsidRDefault="00864CFF">
      <w:pPr>
        <w:rPr>
          <w:rFonts w:ascii="Arial" w:hAnsi="Arial" w:cs="Arial"/>
          <w:sz w:val="22"/>
          <w:szCs w:val="22"/>
        </w:rPr>
      </w:pPr>
    </w:p>
    <w:p w14:paraId="23B5DAB0" w14:textId="77777777"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14:paraId="12935693" w14:textId="77777777"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14:paraId="396D0791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14:paraId="26C80810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14:paraId="62EA251A" w14:textId="77777777" w:rsidR="0055477E" w:rsidRDefault="007E6C42" w:rsidP="00B35793">
      <w:pPr>
        <w:rPr>
          <w:rFonts w:ascii="Arial" w:hAnsi="Arial" w:cs="Arial"/>
          <w:sz w:val="22"/>
          <w:szCs w:val="22"/>
        </w:rPr>
      </w:pPr>
      <w:hyperlink r:id="rId12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14:paraId="4B9E47BD" w14:textId="77777777"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3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B1752" w14:textId="77777777" w:rsidR="009D2207" w:rsidRDefault="009D2207">
      <w:r>
        <w:separator/>
      </w:r>
    </w:p>
  </w:endnote>
  <w:endnote w:type="continuationSeparator" w:id="0">
    <w:p w14:paraId="69A7411F" w14:textId="77777777" w:rsidR="009D2207" w:rsidRDefault="009D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15534" w14:textId="77777777" w:rsidR="00406EF1" w:rsidRDefault="00406EF1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14:paraId="117EA67A" w14:textId="77777777" w:rsidR="00406EF1" w:rsidRDefault="00406EF1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888-451-5171  FAX: 802-655-7941  Outside the USA:  802-655-4740  E-mail: customercare@biotek.com</w:t>
    </w:r>
  </w:p>
  <w:p w14:paraId="42C55017" w14:textId="77777777" w:rsidR="00406EF1" w:rsidRDefault="00406EF1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6447E" w14:textId="77777777" w:rsidR="009D2207" w:rsidRDefault="009D2207">
      <w:r>
        <w:separator/>
      </w:r>
    </w:p>
  </w:footnote>
  <w:footnote w:type="continuationSeparator" w:id="0">
    <w:p w14:paraId="69EA124D" w14:textId="77777777" w:rsidR="009D2207" w:rsidRDefault="009D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22A58"/>
    <w:rsid w:val="000717FB"/>
    <w:rsid w:val="00082334"/>
    <w:rsid w:val="00086CE5"/>
    <w:rsid w:val="000C0C00"/>
    <w:rsid w:val="000C3EE4"/>
    <w:rsid w:val="000D7152"/>
    <w:rsid w:val="000E252D"/>
    <w:rsid w:val="000F275D"/>
    <w:rsid w:val="000F374E"/>
    <w:rsid w:val="000F442D"/>
    <w:rsid w:val="0012768F"/>
    <w:rsid w:val="00133513"/>
    <w:rsid w:val="00135AD6"/>
    <w:rsid w:val="00150713"/>
    <w:rsid w:val="001712BF"/>
    <w:rsid w:val="001719C2"/>
    <w:rsid w:val="00194BCF"/>
    <w:rsid w:val="001A0BE5"/>
    <w:rsid w:val="001A2E14"/>
    <w:rsid w:val="001C1F46"/>
    <w:rsid w:val="001D0189"/>
    <w:rsid w:val="001E4E77"/>
    <w:rsid w:val="002031BD"/>
    <w:rsid w:val="00222095"/>
    <w:rsid w:val="002620A8"/>
    <w:rsid w:val="00267B51"/>
    <w:rsid w:val="00280116"/>
    <w:rsid w:val="003237BE"/>
    <w:rsid w:val="00330A62"/>
    <w:rsid w:val="0034469F"/>
    <w:rsid w:val="003616BD"/>
    <w:rsid w:val="00397A11"/>
    <w:rsid w:val="003A657F"/>
    <w:rsid w:val="003D6AEC"/>
    <w:rsid w:val="003E5F86"/>
    <w:rsid w:val="00406EF1"/>
    <w:rsid w:val="004110F4"/>
    <w:rsid w:val="00442397"/>
    <w:rsid w:val="0048167E"/>
    <w:rsid w:val="00491CEB"/>
    <w:rsid w:val="0055477E"/>
    <w:rsid w:val="00577906"/>
    <w:rsid w:val="00595742"/>
    <w:rsid w:val="005B40B5"/>
    <w:rsid w:val="005D3040"/>
    <w:rsid w:val="005D7906"/>
    <w:rsid w:val="005D7D37"/>
    <w:rsid w:val="00627483"/>
    <w:rsid w:val="00630D0A"/>
    <w:rsid w:val="00633DC2"/>
    <w:rsid w:val="00633FFD"/>
    <w:rsid w:val="0063754E"/>
    <w:rsid w:val="006911E5"/>
    <w:rsid w:val="006B76DE"/>
    <w:rsid w:val="006D7DF5"/>
    <w:rsid w:val="0073684D"/>
    <w:rsid w:val="00766A4A"/>
    <w:rsid w:val="0077674C"/>
    <w:rsid w:val="007802F0"/>
    <w:rsid w:val="007A4531"/>
    <w:rsid w:val="007E6C42"/>
    <w:rsid w:val="007F0D66"/>
    <w:rsid w:val="0081051B"/>
    <w:rsid w:val="008266CA"/>
    <w:rsid w:val="0084571F"/>
    <w:rsid w:val="00864CFF"/>
    <w:rsid w:val="008B11D6"/>
    <w:rsid w:val="008B77DA"/>
    <w:rsid w:val="008C2558"/>
    <w:rsid w:val="008C5005"/>
    <w:rsid w:val="008C5E62"/>
    <w:rsid w:val="008D1F9F"/>
    <w:rsid w:val="008F7242"/>
    <w:rsid w:val="009026B7"/>
    <w:rsid w:val="00904128"/>
    <w:rsid w:val="0092328E"/>
    <w:rsid w:val="00965B67"/>
    <w:rsid w:val="009A7DB7"/>
    <w:rsid w:val="009D2207"/>
    <w:rsid w:val="00A26CC9"/>
    <w:rsid w:val="00A572E1"/>
    <w:rsid w:val="00A60E59"/>
    <w:rsid w:val="00A67092"/>
    <w:rsid w:val="00A96809"/>
    <w:rsid w:val="00AB172A"/>
    <w:rsid w:val="00AB4EE6"/>
    <w:rsid w:val="00AC257C"/>
    <w:rsid w:val="00AD5D24"/>
    <w:rsid w:val="00AE77BF"/>
    <w:rsid w:val="00B21F9A"/>
    <w:rsid w:val="00B35793"/>
    <w:rsid w:val="00B36FAE"/>
    <w:rsid w:val="00B77FCA"/>
    <w:rsid w:val="00BA61A2"/>
    <w:rsid w:val="00BB61EF"/>
    <w:rsid w:val="00BD7DBF"/>
    <w:rsid w:val="00C02631"/>
    <w:rsid w:val="00C03808"/>
    <w:rsid w:val="00C15606"/>
    <w:rsid w:val="00C45EA5"/>
    <w:rsid w:val="00C54B67"/>
    <w:rsid w:val="00C61A11"/>
    <w:rsid w:val="00C74EFF"/>
    <w:rsid w:val="00C919FC"/>
    <w:rsid w:val="00C92EDE"/>
    <w:rsid w:val="00CB34F0"/>
    <w:rsid w:val="00D25758"/>
    <w:rsid w:val="00D37396"/>
    <w:rsid w:val="00D672C9"/>
    <w:rsid w:val="00D92F8D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122"/>
    <w:rsid w:val="00E50C5F"/>
    <w:rsid w:val="00E63B23"/>
    <w:rsid w:val="00E76098"/>
    <w:rsid w:val="00EE4499"/>
    <w:rsid w:val="00EF287A"/>
    <w:rsid w:val="00EF5C08"/>
    <w:rsid w:val="00F0150F"/>
    <w:rsid w:val="00F067F2"/>
    <w:rsid w:val="00F3080C"/>
    <w:rsid w:val="00F365F9"/>
    <w:rsid w:val="00F578CD"/>
    <w:rsid w:val="00F7507C"/>
    <w:rsid w:val="00F9072B"/>
    <w:rsid w:val="00FB246E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C03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microplate_software/gen5_data_analysis_software.html" TargetMode="External"/><Relationship Id="rId12" Type="http://schemas.openxmlformats.org/officeDocument/2006/relationships/hyperlink" Target="mailto:cgriffin@shawtodd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iotek.com/products/microplate_detection/synergy_neo_hts_multimode_microplate_reader.html" TargetMode="External"/><Relationship Id="rId10" Type="http://schemas.openxmlformats.org/officeDocument/2006/relationships/hyperlink" Target="http://www.selectscienc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0912_BioTek_5x5x5-12</vt:lpstr>
    </vt:vector>
  </TitlesOfParts>
  <Manager/>
  <Company>BioTek Instruments, Inc.</Company>
  <LinksUpToDate>false</LinksUpToDate>
  <CharactersWithSpaces>2611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0912_BioTek_SelectScienceDDaward</dc:title>
  <dc:subject/>
  <dc:creator>Chere Griffin</dc:creator>
  <cp:keywords/>
  <dc:description/>
  <cp:lastModifiedBy>Chere Griffin</cp:lastModifiedBy>
  <cp:revision>3</cp:revision>
  <cp:lastPrinted>2012-09-05T21:04:00Z</cp:lastPrinted>
  <dcterms:created xsi:type="dcterms:W3CDTF">2012-09-06T14:35:00Z</dcterms:created>
  <dcterms:modified xsi:type="dcterms:W3CDTF">2012-09-06T15:24:00Z</dcterms:modified>
  <cp:category/>
</cp:coreProperties>
</file>